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Gill Sans" w:cs="Gill Sans" w:eastAsia="Gill Sans" w:hAnsi="Gill Sans"/>
          <w:color w:val="36609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center"/>
        <w:rPr>
          <w:rFonts w:ascii="Gill Sans" w:cs="Gill Sans" w:eastAsia="Gill Sans" w:hAnsi="Gill Sans"/>
          <w:b w:val="0"/>
          <w:sz w:val="28"/>
          <w:szCs w:val="28"/>
        </w:rPr>
      </w:pPr>
      <w:bookmarkStart w:colFirst="0" w:colLast="0" w:name="_heading=h.sswv5d7plcjh" w:id="0"/>
      <w:bookmarkEnd w:id="0"/>
      <w:r w:rsidDel="00000000" w:rsidR="00000000" w:rsidRPr="00000000">
        <w:rPr>
          <w:rFonts w:ascii="Gill Sans" w:cs="Gill Sans" w:eastAsia="Gill Sans" w:hAnsi="Gill Sans"/>
          <w:b w:val="0"/>
          <w:sz w:val="28"/>
          <w:szCs w:val="28"/>
          <w:rtl w:val="0"/>
        </w:rPr>
        <w:t xml:space="preserve">REGLAS ELECTORALES PARA LOS PROCESOS DE SELECCIÓN DE CANDIDATURAS A CARGOS DE ELECCIÓN POPULAR PRESIDENCIAL</w:t>
      </w:r>
    </w:p>
    <w:p w:rsidR="00000000" w:rsidDel="00000000" w:rsidP="00000000" w:rsidRDefault="00000000" w:rsidRPr="00000000" w14:paraId="00000003">
      <w:pPr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90"/>
        <w:gridCol w:w="1200"/>
        <w:gridCol w:w="1455"/>
        <w:gridCol w:w="1860"/>
        <w:gridCol w:w="1890"/>
        <w:gridCol w:w="1335"/>
        <w:gridCol w:w="1425"/>
        <w:gridCol w:w="2475"/>
        <w:gridCol w:w="1320"/>
        <w:tblGridChange w:id="0">
          <w:tblGrid>
            <w:gridCol w:w="1590"/>
            <w:gridCol w:w="1200"/>
            <w:gridCol w:w="1455"/>
            <w:gridCol w:w="1860"/>
            <w:gridCol w:w="1890"/>
            <w:gridCol w:w="1335"/>
            <w:gridCol w:w="1425"/>
            <w:gridCol w:w="2475"/>
            <w:gridCol w:w="1320"/>
          </w:tblGrid>
        </w:tblGridChange>
      </w:tblGrid>
      <w:tr>
        <w:trPr>
          <w:cantSplit w:val="1"/>
          <w:trHeight w:val="1091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País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Año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[Aprobación legislación]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Proceso plasmado en la Constitución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Proceso plasmado en una Ley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Ley establece elecciones internas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Obligatorias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Simultáneas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Organizadas, supervisadas y/o financiadas por el Estado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Voto obligatorio de la ciudadanía</w:t>
            </w:r>
          </w:p>
        </w:tc>
      </w:tr>
      <w:tr>
        <w:trPr>
          <w:cantSplit w:val="1"/>
          <w:trHeight w:val="8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Argentina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[Ley#23.298]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 y financiadas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Argentina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[Ley#25.611]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[suspendida sólo en 2003 con la ley 25.684]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Argentina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[Ley#26.191]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[Restablece ley 23.298]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 y financiadas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Argentina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[Ley#26.571]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b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P.A.S.O. [Primarias, Abiertas, Simultáneas y Obligatorias]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Bolivia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Bolivia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Ley#1.983]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Bolivia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86º]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[Ley#2.268]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Bolivia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166º]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[Ley#1096]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Brasil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4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Brasil 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4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Brasil 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[facultativo para jóvenes de 16 a 18 años y adultos de 70 años]</w:t>
            </w:r>
          </w:p>
        </w:tc>
      </w:tr>
      <w:tr>
        <w:trPr>
          <w:cantSplit w:val="1"/>
          <w:trHeight w:val="74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Brasil 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[Ley#9.504]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financiadas [no organizadas]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</w:tc>
      </w:tr>
      <w:tr>
        <w:trPr>
          <w:cantSplit w:val="1"/>
          <w:trHeight w:val="74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[Ley#130]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#616]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A9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107º]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#130 de 1994 con modificaciones de 616]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107°]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[Ley#1.475]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internas o populares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Colombia VI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107°]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Estatutaria 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Código Electoral]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internas, populares o interpartidistas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Costa Rica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1946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#500]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Costa Rica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1952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#1536]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hay info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Costa Rica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[Ley#8.765]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se aclara en el Código Electoral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Chile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Chile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Orgánica Constitucional de los Partidos Políticos]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Chile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[Ley#20.640]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 petición de las organizaciones de partidos]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Ecuador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1978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Ecuador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Orgánica Electoral, Código de la Democracia]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Ecuador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Orgánica Electoral, Código de la Democracia]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abiertas, cerradas y/o representativas (art. 348)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[“en caso de que sean primarias abiertas el Consejo Nacional Electoral brindará soporte”]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6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El Salvador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2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[Decreto#307]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[supervisión sólo a solicitud de la organización]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Guatemala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3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[Decreto #1-85]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[Convención]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Guatemala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Electoral]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 decisión de la Asamblea Nacional del partido]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Honduras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Honduras 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5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Electoral de las Organizaciones Políticas]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Honduras 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5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[Decreto #44-2004]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México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1978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México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6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[COFIPE]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9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México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41°]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7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General de Partidos Políticos]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7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[“procedimiento democrático”]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Nicaragua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tiene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[sólo supervisión en caso de conflictos]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Panamá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72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Panamá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9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#22]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financia y resuelve posibles conflictos internos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Panamá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financia y resuelve posibles conflictos internos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Panamá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A9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[Código Electoral]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supervisa, financia y ayuda a resolver posibles conflictos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Panamá 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B3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 [Código Electoral]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supervisadas y organizadas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Paraguay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Paraguay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C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#834/96]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financiadas y [“mínimamente”]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82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Perú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82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Perú 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D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#28.094]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</w:t>
            </w:r>
          </w:p>
          <w:p w:rsidR="00000000" w:rsidDel="00000000" w:rsidP="00000000" w:rsidRDefault="00000000" w:rsidRPr="00000000" w14:paraId="000001D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Cerradas, abiertas, por convención u otro órgano partidario a decisión de cada organización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supervisión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82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Perú 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E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#28,581]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supervisión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Perú 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E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[Ley#30.998]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financiadas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Perú 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202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F9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Ley 31.038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aplicación en 2021]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[cerradas: por afiliados o delegados]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Si organizadas y financiadas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R. Dominicana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R. Dominicana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0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[Ley#257-97]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No, Convenciones regulares y públicas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R. Dominicana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21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33-18]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R. Dominicana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2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15-19]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R. Dominicana 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2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20-23]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Uruguay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Uruguay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3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77°]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Uruguay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4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77°]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4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[Ley#17.063]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abiertas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supervisadas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Uruguay IV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5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77°]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25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[Ley# 18.485]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 y financiadas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 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Venezuela 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1961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5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114°]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5F">
            <w:pPr>
              <w:jc w:val="left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cerradas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 y supervisadas [“sin financiamiento público”]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Gill Sans" w:cs="Gill Sans" w:eastAsia="Gill Sans" w:hAnsi="Gill Sans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Venezuela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1999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6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[Artículos 5°, 67° y 293.6°]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6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Orgánica del Sufragio y Participación Política]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B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Venezuela III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7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[Artículos 5°, 67° y 293.6°]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 </w:t>
            </w:r>
          </w:p>
          <w:p w:rsidR="00000000" w:rsidDel="00000000" w:rsidP="00000000" w:rsidRDefault="00000000" w:rsidRPr="00000000" w14:paraId="00000275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[Ley Orgánica del Poder Electoral]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8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9">
            <w:pPr>
              <w:jc w:val="center"/>
              <w:rPr>
                <w:rFonts w:ascii="Gill Sans" w:cs="Gill Sans" w:eastAsia="Gill Sans" w:hAnsi="Gill Sans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Sí, organizadas, supervisadas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vertAlign w:val="superscript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1"/>
          <w:trHeight w:val="10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Venezuela I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Sí</w:t>
            </w:r>
          </w:p>
          <w:p w:rsidR="00000000" w:rsidDel="00000000" w:rsidP="00000000" w:rsidRDefault="00000000" w:rsidRPr="00000000" w14:paraId="0000027E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[Artículo 5°]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>
                <w:rFonts w:ascii="Gill Sans" w:cs="Gill Sans" w:eastAsia="Gill Sans" w:hAnsi="Gill Sans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 w14:paraId="00000285">
      <w:pPr>
        <w:rPr>
          <w:rFonts w:ascii="Gill Sans" w:cs="Gill Sans" w:eastAsia="Gill Sans" w:hAnsi="Gill Sans"/>
          <w:sz w:val="20"/>
          <w:szCs w:val="20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(*) También alcanza los medios digitales y redes sociales: “La emisión y publicación de avisos publicitarios para promoción con fines electorales en medios gráficos, vía pública, internet, telefonía móvil y fija, y publicidad estática en espectáculos públicos, sólo podrá tener lugar durante el período de campaña establecido en esta ley.” Art. artículo 44 quáter de la ley 26.215.</w:t>
      </w:r>
    </w:p>
    <w:p w:rsidR="00000000" w:rsidDel="00000000" w:rsidP="00000000" w:rsidRDefault="00000000" w:rsidRPr="00000000" w14:paraId="00000286">
      <w:pPr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>
          <w:rFonts w:ascii="Gill Sans" w:cs="Gill Sans" w:eastAsia="Gill Sans" w:hAnsi="Gill Sans"/>
          <w:sz w:val="20"/>
          <w:szCs w:val="20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vertAlign w:val="superscript"/>
          <w:rtl w:val="0"/>
        </w:rPr>
        <w:t xml:space="preserve">1</w:t>
      </w: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A petición de cada organización </w:t>
      </w:r>
    </w:p>
    <w:p w:rsidR="00000000" w:rsidDel="00000000" w:rsidP="00000000" w:rsidRDefault="00000000" w:rsidRPr="00000000" w14:paraId="00000288">
      <w:pPr>
        <w:rPr>
          <w:rFonts w:ascii="Gill Sans" w:cs="Gill Sans" w:eastAsia="Gill Sans" w:hAnsi="Gill Sans"/>
          <w:sz w:val="20"/>
          <w:szCs w:val="20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No obligatoria </w:t>
      </w:r>
    </w:p>
    <w:p w:rsidR="00000000" w:rsidDel="00000000" w:rsidP="00000000" w:rsidRDefault="00000000" w:rsidRPr="00000000" w14:paraId="00000289">
      <w:pPr>
        <w:rPr>
          <w:rFonts w:ascii="Gill Sans" w:cs="Gill Sans" w:eastAsia="Gill Sans" w:hAnsi="Gill Sans"/>
          <w:sz w:val="20"/>
          <w:szCs w:val="20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vertAlign w:val="superscript"/>
          <w:rtl w:val="0"/>
        </w:rPr>
        <w:t xml:space="preserve">3</w:t>
      </w: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Sin financiamiento público </w:t>
      </w:r>
    </w:p>
    <w:p w:rsidR="00000000" w:rsidDel="00000000" w:rsidP="00000000" w:rsidRDefault="00000000" w:rsidRPr="00000000" w14:paraId="0000028A">
      <w:pPr>
        <w:rPr>
          <w:rFonts w:ascii="Gill Sans" w:cs="Gill Sans" w:eastAsia="Gill Sans" w:hAnsi="Gill Sans"/>
          <w:sz w:val="20"/>
          <w:szCs w:val="20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vertAlign w:val="superscript"/>
          <w:rtl w:val="0"/>
        </w:rPr>
        <w:t xml:space="preserve">4</w:t>
      </w: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Entre otras opciones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ind w:right="-29"/>
        <w:jc w:val="both"/>
        <w:rPr>
          <w:rFonts w:ascii="Gill Sans" w:cs="Gill Sans" w:eastAsia="Gill Sans" w:hAnsi="Gill Sans"/>
          <w:color w:val="ff6116"/>
          <w:sz w:val="21"/>
          <w:szCs w:val="21"/>
        </w:rPr>
      </w:pPr>
      <w:r w:rsidDel="00000000" w:rsidR="00000000" w:rsidRPr="00000000">
        <w:rPr>
          <w:rFonts w:ascii="Gill Sans" w:cs="Gill Sans" w:eastAsia="Gill Sans" w:hAnsi="Gill Sans"/>
          <w:rtl w:val="0"/>
        </w:rPr>
        <w:t xml:space="preserve">Cómo citar: Observatorio de Reformas Políticas en América Latina (1978-2023). Ciudad de México: Instituto de Investigaciones Jurídicas (IIJ-UNAM) /Washington, D.C.: Secretaría para el Fortalecimiento de la Democracia de la Organización de los Estados Americanos. Elaboración por Flavia Freidenberg. Actualización por Karla Estrada y Paola Alvarado. Fecha de actualización: 18 de octubre de 2023. Fecha de publicación: </w:t>
      </w:r>
      <w:r w:rsidDel="00000000" w:rsidR="00000000" w:rsidRPr="00000000">
        <w:rPr>
          <w:rFonts w:ascii="Gill Sans" w:cs="Gill Sans" w:eastAsia="Gill Sans" w:hAnsi="Gill Sans"/>
          <w:rtl w:val="0"/>
        </w:rPr>
        <w:t xml:space="preserve">31 de octubre de 2023. DOI: 10.5281/zenodo.10058128. Disponible en: </w:t>
      </w:r>
      <w:hyperlink r:id="rId7">
        <w:r w:rsidDel="00000000" w:rsidR="00000000" w:rsidRPr="00000000">
          <w:rPr>
            <w:rFonts w:ascii="Gill Sans" w:cs="Gill Sans" w:eastAsia="Gill Sans" w:hAnsi="Gill Sans"/>
            <w:color w:val="1155cc"/>
            <w:u w:val="single"/>
            <w:rtl w:val="0"/>
          </w:rPr>
          <w:t xml:space="preserve">https://bit.ly/3ymgpFz</w:t>
        </w:r>
      </w:hyperlink>
      <w:r w:rsidDel="00000000" w:rsidR="00000000" w:rsidRPr="00000000">
        <w:rPr>
          <w:rFonts w:ascii="Gill Sans" w:cs="Gill Sans" w:eastAsia="Gill Sans" w:hAnsi="Gill Sans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ind w:right="-29"/>
        <w:jc w:val="both"/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ind w:right="-29"/>
        <w:jc w:val="both"/>
        <w:rPr>
          <w:rFonts w:ascii="Gill Sans" w:cs="Gill Sans" w:eastAsia="Gill Sans" w:hAnsi="Gill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ind w:right="-29"/>
        <w:jc w:val="both"/>
        <w:rPr>
          <w:rFonts w:ascii="Gill Sans" w:cs="Gill Sans" w:eastAsia="Gill Sans" w:hAnsi="Gill Sans"/>
          <w:color w:val="0000ff"/>
          <w:u w:val="single"/>
        </w:rPr>
      </w:pPr>
      <w:r w:rsidDel="00000000" w:rsidR="00000000" w:rsidRPr="00000000">
        <w:rPr>
          <w:rFonts w:ascii="Gill Sans" w:cs="Gill Sans" w:eastAsia="Gill Sans" w:hAnsi="Gill Sans"/>
          <w:sz w:val="20"/>
          <w:szCs w:val="20"/>
          <w:rtl w:val="0"/>
        </w:rPr>
        <w:t xml:space="preserve">* Producto elaborado en el marco del Proyecto IN301020 «Reformas político-electorales y democracia en América Latina», del Programa de Apoyo a Proyectos de Investigación en Innovación Tecnológica de la UNAM-DGAPA, bajo la dirección de. Flavia Freidenberg (IIJ-UNAM).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1900" w:w="16840" w:orient="landscape"/>
      <w:pgMar w:bottom="1134" w:top="1418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3">
    <w:pPr>
      <w:jc w:val="both"/>
      <w:rPr>
        <w:rFonts w:ascii="Gill Sans" w:cs="Gill Sans" w:eastAsia="Gill Sans" w:hAnsi="Gill Sans"/>
        <w:color w:val="0563c1"/>
        <w:sz w:val="20"/>
        <w:szCs w:val="20"/>
        <w:u w:val="single"/>
      </w:rPr>
    </w:pPr>
    <w:r w:rsidDel="00000000" w:rsidR="00000000" w:rsidRPr="00000000">
      <w:rPr>
        <w:rFonts w:ascii="Gill Sans" w:cs="Gill Sans" w:eastAsia="Gill Sans" w:hAnsi="Gill Sans"/>
        <w:sz w:val="20"/>
        <w:szCs w:val="20"/>
        <w:rtl w:val="0"/>
      </w:rPr>
      <w:t xml:space="preserve">La información contenida en este documento no representa necesariamente la opinión de la Organización de Estados Americanos (OEA), del Instituto de Investigaciones Jurídicas (IIJ-UNAM), ni la de las instituciones colaboradoras.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8"/>
        <w:szCs w:val="8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7911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6531610</wp:posOffset>
          </wp:positionH>
          <wp:positionV relativeFrom="paragraph">
            <wp:posOffset>-59686</wp:posOffset>
          </wp:positionV>
          <wp:extent cx="313055" cy="359410"/>
          <wp:effectExtent b="0" l="0" r="0" t="0"/>
          <wp:wrapSquare wrapText="bothSides" distB="0" distT="0" distL="114300" distR="114300"/>
          <wp:docPr descr="Logotipo&#10;&#10;Descripción generada automáticamente" id="35" name="image3.pn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3055" cy="3594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7360285</wp:posOffset>
          </wp:positionH>
          <wp:positionV relativeFrom="paragraph">
            <wp:posOffset>-73022</wp:posOffset>
          </wp:positionV>
          <wp:extent cx="359410" cy="359410"/>
          <wp:effectExtent b="0" l="0" r="0" t="0"/>
          <wp:wrapSquare wrapText="bothSides" distB="0" distT="0" distL="114300" distR="114300"/>
          <wp:docPr descr="Una caricatura de una persona&#10;&#10;Descripción generada automáticamente con confianza baja" id="37" name="image4.png"/>
          <a:graphic>
            <a:graphicData uri="http://schemas.openxmlformats.org/drawingml/2006/picture">
              <pic:pic>
                <pic:nvPicPr>
                  <pic:cNvPr descr="Una caricatura de una persona&#10;&#10;Descripción generada automáticamente con confianza baja"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" cy="3594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6924040</wp:posOffset>
          </wp:positionH>
          <wp:positionV relativeFrom="paragraph">
            <wp:posOffset>-73022</wp:posOffset>
          </wp:positionV>
          <wp:extent cx="400050" cy="373380"/>
          <wp:effectExtent b="0" l="0" r="0" t="0"/>
          <wp:wrapSquare wrapText="bothSides" distB="0" distT="0" distL="114300" distR="114300"/>
          <wp:docPr descr="Logotipo&#10;&#10;Descripción generada automáticamente" id="36" name="image1.pn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0050" cy="3733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7810500</wp:posOffset>
          </wp:positionH>
          <wp:positionV relativeFrom="paragraph">
            <wp:posOffset>-46987</wp:posOffset>
          </wp:positionV>
          <wp:extent cx="1430655" cy="359410"/>
          <wp:effectExtent b="0" l="0" r="0" t="0"/>
          <wp:wrapSquare wrapText="bothSides" distB="0" distT="0" distL="114300" distR="114300"/>
          <wp:docPr descr="Texto&#10;&#10;Descripción generada automáticamente con confianza media" id="34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4"/>
                  <a:srcRect b="0" l="0" r="15941" t="0"/>
                  <a:stretch>
                    <a:fillRect/>
                  </a:stretch>
                </pic:blipFill>
                <pic:spPr>
                  <a:xfrm>
                    <a:off x="0" y="0"/>
                    <a:ext cx="1430655" cy="3594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-351152</wp:posOffset>
          </wp:positionH>
          <wp:positionV relativeFrom="paragraph">
            <wp:posOffset>-95882</wp:posOffset>
          </wp:positionV>
          <wp:extent cx="1713865" cy="408305"/>
          <wp:effectExtent b="0" l="0" r="0" t="0"/>
          <wp:wrapSquare wrapText="bothSides" distB="0" distT="0" distL="114300" distR="114300"/>
          <wp:docPr descr="cropped-top" id="33" name="image5.jpg"/>
          <a:graphic>
            <a:graphicData uri="http://schemas.openxmlformats.org/drawingml/2006/picture">
              <pic:pic>
                <pic:nvPicPr>
                  <pic:cNvPr descr="cropped-top" id="0" name="image5.jpg"/>
                  <pic:cNvPicPr preferRelativeResize="0"/>
                </pic:nvPicPr>
                <pic:blipFill>
                  <a:blip r:embed="rId5"/>
                  <a:srcRect b="0" l="0" r="78996" t="0"/>
                  <a:stretch>
                    <a:fillRect/>
                  </a:stretch>
                </pic:blipFill>
                <pic:spPr>
                  <a:xfrm>
                    <a:off x="0" y="0"/>
                    <a:ext cx="1713865" cy="40830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9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5301"/>
    <w:rPr>
      <w:rFonts w:ascii="Cambria" w:cs="Times New Roman" w:eastAsia="MS Mincho" w:hAnsi="Cambria"/>
      <w:lang w:eastAsia="ja-JP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notapie">
    <w:name w:val="footnote text"/>
    <w:aliases w:val="Texto nota pie Car1 Car Car"/>
    <w:basedOn w:val="Normal"/>
    <w:link w:val="TextonotapieCar"/>
    <w:unhideWhenUsed w:val="1"/>
    <w:rsid w:val="00835301"/>
    <w:rPr>
      <w:sz w:val="20"/>
      <w:szCs w:val="20"/>
      <w:lang w:eastAsia="cs-CZ" w:val="cs-CZ"/>
    </w:rPr>
  </w:style>
  <w:style w:type="character" w:styleId="TextonotapieCar" w:customStyle="1">
    <w:name w:val="Texto nota pie Car"/>
    <w:aliases w:val="Texto nota pie Car1 Car Car Car"/>
    <w:basedOn w:val="Fuentedeprrafopredeter"/>
    <w:link w:val="Textonotapie"/>
    <w:rsid w:val="00835301"/>
    <w:rPr>
      <w:rFonts w:ascii="Cambria" w:cs="Times New Roman" w:eastAsia="MS Mincho" w:hAnsi="Cambria"/>
      <w:sz w:val="20"/>
      <w:szCs w:val="20"/>
      <w:lang w:eastAsia="cs-CZ" w:val="cs-CZ"/>
    </w:rPr>
  </w:style>
  <w:style w:type="paragraph" w:styleId="NormalWeb">
    <w:name w:val="Normal (Web)"/>
    <w:basedOn w:val="Normal"/>
    <w:uiPriority w:val="99"/>
    <w:rsid w:val="00835301"/>
    <w:pPr>
      <w:spacing w:after="100" w:afterAutospacing="1" w:before="100" w:beforeAutospacing="1"/>
    </w:pPr>
    <w:rPr>
      <w:rFonts w:ascii="Times New Roman" w:eastAsia="SimSun" w:hAnsi="Times New Roman"/>
      <w:noProof w:val="1"/>
      <w:lang w:eastAsia="zh-CN"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83530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35301"/>
    <w:rPr>
      <w:rFonts w:ascii="Cambria" w:cs="Times New Roman" w:eastAsia="MS Mincho" w:hAnsi="Cambria"/>
      <w:lang w:eastAsia="ja-JP"/>
    </w:rPr>
  </w:style>
  <w:style w:type="paragraph" w:styleId="Piedepgina">
    <w:name w:val="footer"/>
    <w:basedOn w:val="Normal"/>
    <w:link w:val="PiedepginaCar"/>
    <w:uiPriority w:val="99"/>
    <w:unhideWhenUsed w:val="1"/>
    <w:rsid w:val="0083530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35301"/>
    <w:rPr>
      <w:rFonts w:ascii="Cambria" w:cs="Times New Roman" w:eastAsia="MS Mincho" w:hAnsi="Cambria"/>
      <w:lang w:eastAsia="ja-JP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35301"/>
    <w:rPr>
      <w:rFonts w:ascii="Lucida Grande" w:cs="Lucida Grande" w:hAnsi="Lucida Grande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35301"/>
    <w:rPr>
      <w:rFonts w:ascii="Lucida Grande" w:cs="Lucida Grande" w:eastAsia="MS Mincho" w:hAnsi="Lucida Grande"/>
      <w:sz w:val="18"/>
      <w:szCs w:val="18"/>
      <w:lang w:eastAsia="ja-JP"/>
    </w:rPr>
  </w:style>
  <w:style w:type="paragraph" w:styleId="Cuerpo" w:customStyle="1">
    <w:name w:val="Cuerpo"/>
    <w:rsid w:val="00180185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Times New Roman" w:cs="Arial Unicode MS" w:eastAsia="Arial Unicode MS" w:hAnsi="Arial Unicode MS"/>
      <w:color w:val="000000"/>
      <w:u w:color="000000"/>
      <w:bdr w:space="0" w:sz="0" w:val="nil"/>
    </w:rPr>
  </w:style>
  <w:style w:type="paragraph" w:styleId="Prrafodelista">
    <w:name w:val="List Paragraph"/>
    <w:basedOn w:val="Normal"/>
    <w:uiPriority w:val="34"/>
    <w:qFormat w:val="1"/>
    <w:rsid w:val="00C45AF6"/>
    <w:pPr>
      <w:ind w:left="720"/>
      <w:contextualSpacing w:val="1"/>
    </w:p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C45AF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C45AF6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C45AF6"/>
    <w:rPr>
      <w:rFonts w:ascii="Cambria" w:cs="Times New Roman" w:eastAsia="MS Mincho" w:hAnsi="Cambria"/>
      <w:sz w:val="20"/>
      <w:szCs w:val="20"/>
      <w:lang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C45AF6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C45AF6"/>
    <w:rPr>
      <w:rFonts w:ascii="Cambria" w:cs="Times New Roman" w:eastAsia="MS Mincho" w:hAnsi="Cambria"/>
      <w:b w:val="1"/>
      <w:bCs w:val="1"/>
      <w:sz w:val="20"/>
      <w:szCs w:val="20"/>
      <w:lang w:eastAsia="ja-JP"/>
    </w:rPr>
  </w:style>
  <w:style w:type="character" w:styleId="Hipervnculo">
    <w:name w:val="Hyperlink"/>
    <w:basedOn w:val="Fuentedeprrafopredeter"/>
    <w:uiPriority w:val="99"/>
    <w:unhideWhenUsed w:val="1"/>
    <w:rsid w:val="00C45AF6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FF5F69"/>
    <w:rPr>
      <w:color w:val="605e5c"/>
      <w:shd w:color="auto" w:fill="e1dfdd" w:val="clear"/>
    </w:rPr>
  </w:style>
  <w:style w:type="paragraph" w:styleId="Revisin">
    <w:name w:val="Revision"/>
    <w:hidden w:val="1"/>
    <w:uiPriority w:val="99"/>
    <w:semiHidden w:val="1"/>
    <w:rsid w:val="00FF5F69"/>
    <w:rPr>
      <w:rFonts w:ascii="Cambria" w:cs="Times New Roman" w:eastAsia="MS Mincho" w:hAnsi="Cambria"/>
      <w:lang w:eastAsia="ja-JP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F16E22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CA6D45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 w:val="1"/>
    <w:rsid w:val="00853213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it.ly/3ymgpFz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IDrQA4A2g2KckyPnylRFYHgxxQ==">CgMxLjAyDmguc3N3djVkN3BsY2poOAByITFRM3hMRTdKQm9mUEF1amExVnRMVTNud0M0TGFUZUJGVw==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2020-12-09T17:35:00Z</dcterms:created>
  <dc:creator>Flavia Freidenberg</dc:creator>
</cp:coreProperties>
</file>